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38" w:rsidRPr="00837D3E" w:rsidRDefault="00B40C38" w:rsidP="00B40C38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</w:p>
    <w:p w:rsidR="00B40C38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0F0471" w:rsidRDefault="00B40C38" w:rsidP="00B40C38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B40C38" w:rsidRPr="00E45804" w:rsidRDefault="00B40C38" w:rsidP="00B40C3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B40C38" w:rsidRPr="00837D3E" w:rsidRDefault="00B40C38" w:rsidP="00B40C38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</w:p>
    <w:p w:rsidR="00B40C38" w:rsidRPr="00E4580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B40C38" w:rsidRPr="000F0471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B40C38" w:rsidRPr="00837D3E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B40C38" w:rsidRPr="004F2EB5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B40C38" w:rsidRPr="00837D3E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7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8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B40C38" w:rsidRDefault="00B40C38" w:rsidP="00B40C38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0" w:name="981"/>
      <w:bookmarkEnd w:id="0"/>
      <w:r>
        <w:rPr>
          <w:rFonts w:ascii="Times New Roman" w:hAnsi="Times New Roman"/>
        </w:rPr>
        <w:t>.</w:t>
      </w:r>
    </w:p>
    <w:p w:rsidR="00B40C38" w:rsidRPr="004F2EB5" w:rsidRDefault="00B40C38" w:rsidP="00B40C38">
      <w:pPr>
        <w:spacing w:after="0"/>
        <w:jc w:val="center"/>
        <w:rPr>
          <w:rFonts w:ascii="Times New Roman" w:hAnsi="Times New Roman"/>
          <w:sz w:val="6"/>
        </w:rPr>
      </w:pPr>
    </w:p>
    <w:p w:rsidR="00B40C38" w:rsidRPr="00D90110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B40C38" w:rsidRPr="0074192C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B40C38" w:rsidRPr="00837D3E" w:rsidRDefault="00B40C38" w:rsidP="00B40C38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B40C38" w:rsidRDefault="00B40C38" w:rsidP="00B40C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B40C38" w:rsidRDefault="00B40C38" w:rsidP="00B40C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lastRenderedPageBreak/>
        <w:t>Уголовная ответственность за экстремистские преступления.</w:t>
      </w:r>
    </w:p>
    <w:p w:rsidR="00B40C38" w:rsidRPr="000F0471" w:rsidRDefault="00B40C38" w:rsidP="00B40C38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B40C38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  <w:t xml:space="preserve">телекоммуникационных сетей, в том числе сети «Интернет». </w:t>
      </w: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B40C38" w:rsidRDefault="00B40C38" w:rsidP="00B40C3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B40C38" w:rsidRPr="00E45804" w:rsidRDefault="00B40C38" w:rsidP="00B40C38">
      <w:pPr>
        <w:pStyle w:val="a3"/>
        <w:numPr>
          <w:ilvl w:val="0"/>
          <w:numId w:val="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B40C38" w:rsidRPr="000F0471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>
        <w:rPr>
          <w:sz w:val="22"/>
          <w:szCs w:val="22"/>
        </w:rPr>
        <w:t>,</w:t>
      </w:r>
      <w:r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B40C38" w:rsidRPr="009F7B6F" w:rsidRDefault="00B40C38" w:rsidP="00B40C38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B40C38" w:rsidRPr="00837D3E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>
        <w:rPr>
          <w:sz w:val="22"/>
          <w:szCs w:val="22"/>
        </w:rPr>
        <w:t>остоинства по указанным мотивам,</w:t>
      </w:r>
      <w:r w:rsidRPr="009D047F">
        <w:rPr>
          <w:sz w:val="22"/>
          <w:szCs w:val="22"/>
        </w:rPr>
        <w:t>совершенные публично или с</w:t>
      </w:r>
      <w:r>
        <w:rPr>
          <w:sz w:val="22"/>
          <w:szCs w:val="22"/>
        </w:rPr>
        <w:t xml:space="preserve"> использованием СМИ</w:t>
      </w:r>
      <w:r w:rsidRPr="009D047F">
        <w:rPr>
          <w:sz w:val="22"/>
          <w:szCs w:val="22"/>
        </w:rPr>
        <w:t>, в том числе сети «Интернет»</w:t>
      </w:r>
      <w:r>
        <w:rPr>
          <w:sz w:val="22"/>
          <w:szCs w:val="22"/>
        </w:rPr>
        <w:t>;</w:t>
      </w:r>
    </w:p>
    <w:p w:rsidR="00B40C38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B40C38" w:rsidRPr="000F0471" w:rsidRDefault="00B40C38" w:rsidP="00B40C3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B40C38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B40C38" w:rsidRPr="000F0471" w:rsidRDefault="00B40C38" w:rsidP="00B40C38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B40C38" w:rsidRPr="00E4580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Л</w:t>
      </w:r>
      <w:r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B40C38" w:rsidRPr="000F0471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B40C38" w:rsidRPr="00E266D4" w:rsidRDefault="00B40C38" w:rsidP="00B40C38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</w:p>
    <w:p w:rsidR="002B1EDA" w:rsidRDefault="00A26E59"/>
    <w:sectPr w:rsidR="002B1EDA" w:rsidSect="000F0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59" w:rsidRDefault="00A26E59" w:rsidP="00DA6C8A">
      <w:pPr>
        <w:spacing w:after="0" w:line="240" w:lineRule="auto"/>
      </w:pPr>
      <w:r>
        <w:separator/>
      </w:r>
    </w:p>
  </w:endnote>
  <w:endnote w:type="continuationSeparator" w:id="1">
    <w:p w:rsidR="00A26E59" w:rsidRDefault="00A26E59" w:rsidP="00D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A26E5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A26E5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A26E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59" w:rsidRDefault="00A26E59" w:rsidP="00DA6C8A">
      <w:pPr>
        <w:spacing w:after="0" w:line="240" w:lineRule="auto"/>
      </w:pPr>
      <w:r>
        <w:separator/>
      </w:r>
    </w:p>
  </w:footnote>
  <w:footnote w:type="continuationSeparator" w:id="1">
    <w:p w:rsidR="00A26E59" w:rsidRDefault="00A26E59" w:rsidP="00D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A26E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A26E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7C" w:rsidRDefault="00A26E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C38"/>
    <w:rsid w:val="00163682"/>
    <w:rsid w:val="003F61A3"/>
    <w:rsid w:val="0059036B"/>
    <w:rsid w:val="00740813"/>
    <w:rsid w:val="007C6182"/>
    <w:rsid w:val="00965A53"/>
    <w:rsid w:val="00A26E59"/>
    <w:rsid w:val="00B40C38"/>
    <w:rsid w:val="00B82348"/>
    <w:rsid w:val="00C41F97"/>
    <w:rsid w:val="00D57374"/>
    <w:rsid w:val="00DA6C8A"/>
    <w:rsid w:val="00ED10C4"/>
    <w:rsid w:val="00EF0F53"/>
    <w:rsid w:val="00EF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0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C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4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C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3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7/20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</dc:creator>
  <cp:lastModifiedBy>ПК</cp:lastModifiedBy>
  <cp:revision>2</cp:revision>
  <cp:lastPrinted>2025-03-25T08:33:00Z</cp:lastPrinted>
  <dcterms:created xsi:type="dcterms:W3CDTF">2025-03-25T08:36:00Z</dcterms:created>
  <dcterms:modified xsi:type="dcterms:W3CDTF">2025-03-25T08:36:00Z</dcterms:modified>
</cp:coreProperties>
</file>